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98" w:rsidRDefault="00505298" w:rsidP="00505298">
      <w:pPr>
        <w:pStyle w:val="Kop1"/>
      </w:pPr>
      <w:proofErr w:type="spellStart"/>
      <w:r>
        <w:t>Theory</w:t>
      </w:r>
      <w:proofErr w:type="spellEnd"/>
      <w:r>
        <w:t xml:space="preserve"> of Change Template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99"/>
        <w:gridCol w:w="1998"/>
        <w:gridCol w:w="1998"/>
        <w:gridCol w:w="1999"/>
        <w:gridCol w:w="1999"/>
        <w:gridCol w:w="1999"/>
        <w:gridCol w:w="2002"/>
      </w:tblGrid>
      <w:tr w:rsidR="00385D56" w:rsidRPr="00385D56" w:rsidTr="00505298">
        <w:tc>
          <w:tcPr>
            <w:tcW w:w="1999" w:type="dxa"/>
            <w:shd w:val="clear" w:color="auto" w:fill="auto"/>
          </w:tcPr>
          <w:p w:rsidR="00385D56" w:rsidRPr="00385D56" w:rsidRDefault="00385D56" w:rsidP="00385D56">
            <w:pPr>
              <w:rPr>
                <w:color w:val="FF0000"/>
                <w:lang w:val="en-GB"/>
              </w:rPr>
            </w:pPr>
            <w:bookmarkStart w:id="0" w:name="_GoBack"/>
            <w:bookmarkEnd w:id="0"/>
            <w:r>
              <w:rPr>
                <w:color w:val="FF0000"/>
                <w:lang w:val="en-GB"/>
              </w:rPr>
              <w:t>1.</w:t>
            </w:r>
            <w:r w:rsidRPr="00385D56">
              <w:rPr>
                <w:color w:val="FF0000"/>
                <w:lang w:val="en-GB"/>
              </w:rPr>
              <w:t>What is the problem you are trying to solve?</w:t>
            </w:r>
          </w:p>
        </w:tc>
        <w:tc>
          <w:tcPr>
            <w:tcW w:w="1998" w:type="dxa"/>
            <w:shd w:val="clear" w:color="auto" w:fill="auto"/>
          </w:tcPr>
          <w:p w:rsidR="00385D56" w:rsidRPr="00385D56" w:rsidRDefault="00385D56" w:rsidP="00F53559">
            <w:pPr>
              <w:contextualSpacing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2.</w:t>
            </w:r>
            <w:r w:rsidRPr="00385D56">
              <w:rPr>
                <w:color w:val="FF0000"/>
                <w:lang w:val="en-GB"/>
              </w:rPr>
              <w:t>Who is your audience?</w:t>
            </w:r>
          </w:p>
        </w:tc>
        <w:tc>
          <w:tcPr>
            <w:tcW w:w="1998" w:type="dxa"/>
            <w:shd w:val="clear" w:color="auto" w:fill="auto"/>
          </w:tcPr>
          <w:p w:rsidR="00385D56" w:rsidRPr="00385D56" w:rsidRDefault="00385D56" w:rsidP="00F53559">
            <w:pPr>
              <w:contextualSpacing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3.</w:t>
            </w:r>
            <w:r w:rsidRPr="00385D56">
              <w:rPr>
                <w:color w:val="FF0000"/>
                <w:lang w:val="en-GB"/>
              </w:rPr>
              <w:t xml:space="preserve">What is your entry point to reaching your key audience? </w:t>
            </w:r>
          </w:p>
        </w:tc>
        <w:tc>
          <w:tcPr>
            <w:tcW w:w="1999" w:type="dxa"/>
            <w:shd w:val="clear" w:color="auto" w:fill="auto"/>
          </w:tcPr>
          <w:p w:rsidR="00385D56" w:rsidRPr="00385D56" w:rsidRDefault="00385D56" w:rsidP="00F53559">
            <w:pPr>
              <w:contextualSpacing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4.</w:t>
            </w:r>
            <w:r w:rsidRPr="00385D56">
              <w:rPr>
                <w:color w:val="FF0000"/>
                <w:lang w:val="en-GB"/>
              </w:rPr>
              <w:t>What steps are needed to bring about change?</w:t>
            </w:r>
          </w:p>
        </w:tc>
        <w:tc>
          <w:tcPr>
            <w:tcW w:w="1999" w:type="dxa"/>
            <w:shd w:val="clear" w:color="auto" w:fill="auto"/>
          </w:tcPr>
          <w:p w:rsidR="00385D56" w:rsidRPr="00385D56" w:rsidRDefault="00385D56" w:rsidP="00F53559">
            <w:pPr>
              <w:contextualSpacing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5.</w:t>
            </w:r>
            <w:r w:rsidRPr="00385D56">
              <w:rPr>
                <w:color w:val="FF0000"/>
                <w:lang w:val="en-GB"/>
              </w:rPr>
              <w:t xml:space="preserve">What is the measurable effect of your work? </w:t>
            </w:r>
          </w:p>
        </w:tc>
        <w:tc>
          <w:tcPr>
            <w:tcW w:w="1999" w:type="dxa"/>
            <w:shd w:val="clear" w:color="auto" w:fill="auto"/>
          </w:tcPr>
          <w:p w:rsidR="00385D56" w:rsidRPr="00385D56" w:rsidRDefault="00385D56" w:rsidP="00F53559">
            <w:pPr>
              <w:contextualSpacing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6.</w:t>
            </w:r>
            <w:r w:rsidRPr="00385D56">
              <w:rPr>
                <w:color w:val="FF0000"/>
                <w:lang w:val="en-GB"/>
              </w:rPr>
              <w:t>What are the wider benefits of your work?</w:t>
            </w:r>
          </w:p>
        </w:tc>
        <w:tc>
          <w:tcPr>
            <w:tcW w:w="2002" w:type="dxa"/>
            <w:shd w:val="clear" w:color="auto" w:fill="auto"/>
          </w:tcPr>
          <w:p w:rsidR="00385D56" w:rsidRDefault="00385D56" w:rsidP="00F53559">
            <w:pPr>
              <w:contextualSpacing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7.</w:t>
            </w:r>
            <w:r w:rsidRPr="00385D56">
              <w:rPr>
                <w:color w:val="FF0000"/>
                <w:lang w:val="en-GB"/>
              </w:rPr>
              <w:t xml:space="preserve">What is the </w:t>
            </w:r>
            <w:proofErr w:type="spellStart"/>
            <w:r w:rsidRPr="00385D56">
              <w:rPr>
                <w:color w:val="FF0000"/>
                <w:lang w:val="en-GB"/>
              </w:rPr>
              <w:t>longterm</w:t>
            </w:r>
            <w:proofErr w:type="spellEnd"/>
            <w:r w:rsidRPr="00385D56">
              <w:rPr>
                <w:color w:val="FF0000"/>
                <w:lang w:val="en-GB"/>
              </w:rPr>
              <w:t xml:space="preserve"> change you see as your goal? </w:t>
            </w:r>
          </w:p>
          <w:p w:rsidR="00E458F4" w:rsidRPr="00385D56" w:rsidRDefault="00E458F4" w:rsidP="00F53559">
            <w:pPr>
              <w:contextualSpacing/>
              <w:rPr>
                <w:color w:val="FF0000"/>
                <w:lang w:val="en-GB"/>
              </w:rPr>
            </w:pPr>
          </w:p>
        </w:tc>
      </w:tr>
      <w:tr w:rsidR="00385D56" w:rsidRPr="00385D56" w:rsidTr="00505298">
        <w:tc>
          <w:tcPr>
            <w:tcW w:w="1999" w:type="dxa"/>
            <w:shd w:val="clear" w:color="auto" w:fill="CCC0D9" w:themeFill="accent4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Pr="00385D56" w:rsidRDefault="00E52975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CCC0D9" w:themeFill="accent4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CCC0D9" w:themeFill="accent4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CCC0D9" w:themeFill="accent4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CCC0D9" w:themeFill="accent4" w:themeFillTint="66"/>
          </w:tcPr>
          <w:p w:rsidR="00385D56" w:rsidRDefault="00505298" w:rsidP="00F53559">
            <w:pPr>
              <w:contextualSpacing/>
              <w:rPr>
                <w:lang w:val="en-GB"/>
              </w:rPr>
            </w:pPr>
            <w:r w:rsidRPr="00385D56">
              <w:rPr>
                <w:color w:val="FF0000"/>
                <w:lang w:val="en-GB"/>
              </w:rPr>
              <w:t>Measurable effect</w:t>
            </w:r>
          </w:p>
        </w:tc>
        <w:tc>
          <w:tcPr>
            <w:tcW w:w="1999" w:type="dxa"/>
            <w:shd w:val="clear" w:color="auto" w:fill="CCC0D9" w:themeFill="accent4" w:themeFillTint="66"/>
          </w:tcPr>
          <w:p w:rsidR="00505298" w:rsidRDefault="00505298" w:rsidP="00505298">
            <w:pPr>
              <w:contextualSpacing/>
              <w:rPr>
                <w:lang w:val="en-GB"/>
              </w:rPr>
            </w:pPr>
            <w:r>
              <w:rPr>
                <w:color w:val="FF0000"/>
                <w:lang w:val="en-GB"/>
              </w:rPr>
              <w:t>Wider</w:t>
            </w:r>
            <w:r w:rsidRPr="00385D56">
              <w:rPr>
                <w:color w:val="FF0000"/>
                <w:lang w:val="en-GB"/>
              </w:rPr>
              <w:t xml:space="preserve"> </w:t>
            </w:r>
            <w:r>
              <w:rPr>
                <w:color w:val="FF0000"/>
                <w:lang w:val="en-GB"/>
              </w:rPr>
              <w:t>benefits</w:t>
            </w:r>
          </w:p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2002" w:type="dxa"/>
            <w:shd w:val="clear" w:color="auto" w:fill="CCC0D9" w:themeFill="accent4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:rsidTr="00505298">
        <w:tc>
          <w:tcPr>
            <w:tcW w:w="1999" w:type="dxa"/>
            <w:shd w:val="clear" w:color="auto" w:fill="D6E3BC" w:themeFill="accent3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D6E3BC" w:themeFill="accent3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D6E3BC" w:themeFill="accent3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D6E3BC" w:themeFill="accent3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D6E3BC" w:themeFill="accent3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  <w:r w:rsidRPr="00385D56">
              <w:rPr>
                <w:color w:val="FF0000"/>
                <w:lang w:val="en-GB"/>
              </w:rPr>
              <w:t xml:space="preserve">Measurable effect </w:t>
            </w:r>
          </w:p>
        </w:tc>
        <w:tc>
          <w:tcPr>
            <w:tcW w:w="1999" w:type="dxa"/>
            <w:shd w:val="clear" w:color="auto" w:fill="D6E3BC" w:themeFill="accent3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  <w:r>
              <w:rPr>
                <w:color w:val="FF0000"/>
                <w:lang w:val="en-GB"/>
              </w:rPr>
              <w:t>Wider</w:t>
            </w:r>
            <w:r w:rsidRPr="00385D56">
              <w:rPr>
                <w:color w:val="FF0000"/>
                <w:lang w:val="en-GB"/>
              </w:rPr>
              <w:t xml:space="preserve"> </w:t>
            </w:r>
            <w:r>
              <w:rPr>
                <w:color w:val="FF0000"/>
                <w:lang w:val="en-GB"/>
              </w:rPr>
              <w:t>benefits</w:t>
            </w:r>
          </w:p>
          <w:p w:rsidR="00385D56" w:rsidRDefault="00385D56" w:rsidP="00E52975">
            <w:pPr>
              <w:contextualSpacing/>
              <w:rPr>
                <w:lang w:val="en-GB"/>
              </w:rPr>
            </w:pPr>
          </w:p>
        </w:tc>
        <w:tc>
          <w:tcPr>
            <w:tcW w:w="2002" w:type="dxa"/>
            <w:shd w:val="clear" w:color="auto" w:fill="D6E3BC" w:themeFill="accent3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:rsidTr="00505298">
        <w:tc>
          <w:tcPr>
            <w:tcW w:w="1999" w:type="dxa"/>
            <w:shd w:val="clear" w:color="auto" w:fill="E5B8B7" w:themeFill="accent2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  <w:p w:rsidR="00E52975" w:rsidRDefault="00E52975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E5B8B7" w:themeFill="accent2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E5B8B7" w:themeFill="accent2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E5B8B7" w:themeFill="accent2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  <w:tc>
          <w:tcPr>
            <w:tcW w:w="1999" w:type="dxa"/>
            <w:shd w:val="clear" w:color="auto" w:fill="E5B8B7" w:themeFill="accent2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  <w:r w:rsidRPr="00385D56">
              <w:rPr>
                <w:color w:val="FF0000"/>
                <w:lang w:val="en-GB"/>
              </w:rPr>
              <w:t xml:space="preserve">Measurable effect </w:t>
            </w:r>
          </w:p>
        </w:tc>
        <w:tc>
          <w:tcPr>
            <w:tcW w:w="1999" w:type="dxa"/>
            <w:shd w:val="clear" w:color="auto" w:fill="E5B8B7" w:themeFill="accent2" w:themeFillTint="66"/>
          </w:tcPr>
          <w:p w:rsidR="00385D56" w:rsidRDefault="00385D56" w:rsidP="00385D56">
            <w:pPr>
              <w:contextualSpacing/>
              <w:rPr>
                <w:lang w:val="en-GB"/>
              </w:rPr>
            </w:pPr>
            <w:r>
              <w:rPr>
                <w:color w:val="FF0000"/>
                <w:lang w:val="en-GB"/>
              </w:rPr>
              <w:t>Wider</w:t>
            </w:r>
            <w:r w:rsidRPr="00385D56">
              <w:rPr>
                <w:color w:val="FF0000"/>
                <w:lang w:val="en-GB"/>
              </w:rPr>
              <w:t xml:space="preserve"> </w:t>
            </w:r>
            <w:r>
              <w:rPr>
                <w:color w:val="FF0000"/>
                <w:lang w:val="en-GB"/>
              </w:rPr>
              <w:t>benefits</w:t>
            </w:r>
          </w:p>
          <w:p w:rsidR="00385D56" w:rsidRDefault="00385D56" w:rsidP="00E52975">
            <w:pPr>
              <w:contextualSpacing/>
              <w:rPr>
                <w:lang w:val="en-GB"/>
              </w:rPr>
            </w:pPr>
          </w:p>
        </w:tc>
        <w:tc>
          <w:tcPr>
            <w:tcW w:w="2002" w:type="dxa"/>
            <w:shd w:val="clear" w:color="auto" w:fill="E5B8B7" w:themeFill="accent2" w:themeFillTint="66"/>
          </w:tcPr>
          <w:p w:rsidR="00385D56" w:rsidRDefault="00385D56" w:rsidP="00F53559">
            <w:pPr>
              <w:contextualSpacing/>
              <w:rPr>
                <w:lang w:val="en-GB"/>
              </w:rPr>
            </w:pPr>
          </w:p>
        </w:tc>
      </w:tr>
      <w:tr w:rsidR="00385D56" w:rsidRPr="00385D56" w:rsidTr="00505298">
        <w:tc>
          <w:tcPr>
            <w:tcW w:w="1999" w:type="dxa"/>
            <w:shd w:val="clear" w:color="auto" w:fill="B6DDE8" w:themeFill="accent5" w:themeFillTint="66"/>
          </w:tcPr>
          <w:p w:rsidR="00385D56" w:rsidRPr="00385D56" w:rsidRDefault="00385D56" w:rsidP="00385D56">
            <w:pPr>
              <w:contextualSpacing/>
              <w:rPr>
                <w:lang w:val="en-GB"/>
              </w:rPr>
            </w:pPr>
            <w:r w:rsidRPr="00385D56">
              <w:rPr>
                <w:lang w:val="en-GB"/>
              </w:rPr>
              <w:t>KEY ASSUMPTIONS</w:t>
            </w:r>
          </w:p>
        </w:tc>
        <w:tc>
          <w:tcPr>
            <w:tcW w:w="1998" w:type="dxa"/>
            <w:shd w:val="clear" w:color="auto" w:fill="B6DDE8" w:themeFill="accent5" w:themeFillTint="66"/>
          </w:tcPr>
          <w:p w:rsidR="00385D56" w:rsidRPr="00385D56" w:rsidRDefault="00385D56" w:rsidP="00385D56">
            <w:r w:rsidRPr="00385D56">
              <w:rPr>
                <w:lang w:val="en-GB"/>
              </w:rPr>
              <w:t>KEY ASSUMPTIONS</w:t>
            </w:r>
          </w:p>
        </w:tc>
        <w:tc>
          <w:tcPr>
            <w:tcW w:w="1998" w:type="dxa"/>
            <w:shd w:val="clear" w:color="auto" w:fill="B6DDE8" w:themeFill="accent5" w:themeFillTint="66"/>
          </w:tcPr>
          <w:p w:rsidR="00385D56" w:rsidRPr="00385D56" w:rsidRDefault="00385D56" w:rsidP="00385D56">
            <w:r w:rsidRPr="00385D56">
              <w:rPr>
                <w:lang w:val="en-GB"/>
              </w:rPr>
              <w:t>KEY ASSUMPTIONS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:rsidR="00385D56" w:rsidRPr="00385D56" w:rsidRDefault="00385D56" w:rsidP="00385D56">
            <w:r w:rsidRPr="00385D56">
              <w:rPr>
                <w:lang w:val="en-GB"/>
              </w:rPr>
              <w:t>KEY ASSUMPTIONS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:rsidR="00385D56" w:rsidRPr="00385D56" w:rsidRDefault="00385D56" w:rsidP="00385D56">
            <w:r w:rsidRPr="00385D56">
              <w:rPr>
                <w:lang w:val="en-GB"/>
              </w:rPr>
              <w:t>KEY ASSUMPTIONS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:rsidR="00385D56" w:rsidRPr="00385D56" w:rsidRDefault="00385D56" w:rsidP="00385D56">
            <w:r w:rsidRPr="00385D56">
              <w:rPr>
                <w:lang w:val="en-GB"/>
              </w:rPr>
              <w:t>KEY ASSUMPTIONS</w:t>
            </w:r>
          </w:p>
        </w:tc>
        <w:tc>
          <w:tcPr>
            <w:tcW w:w="2002" w:type="dxa"/>
            <w:shd w:val="clear" w:color="auto" w:fill="B6DDE8" w:themeFill="accent5" w:themeFillTint="66"/>
          </w:tcPr>
          <w:p w:rsidR="00385D56" w:rsidRPr="00385D56" w:rsidRDefault="00385D56" w:rsidP="00385D56">
            <w:pPr>
              <w:contextualSpacing/>
              <w:rPr>
                <w:lang w:val="en-GB"/>
              </w:rPr>
            </w:pPr>
            <w:r w:rsidRPr="00385D56">
              <w:rPr>
                <w:lang w:val="en-GB"/>
              </w:rPr>
              <w:t>STAKEHOLDERS</w:t>
            </w:r>
          </w:p>
        </w:tc>
      </w:tr>
      <w:tr w:rsidR="00385D56" w:rsidRPr="00385D56" w:rsidTr="00505298">
        <w:tc>
          <w:tcPr>
            <w:tcW w:w="1999" w:type="dxa"/>
            <w:shd w:val="clear" w:color="auto" w:fill="B6DDE8" w:themeFill="accent5" w:themeFillTint="66"/>
          </w:tcPr>
          <w:p w:rsidR="00385D56" w:rsidRPr="00385D56" w:rsidRDefault="00385D56" w:rsidP="00385D56">
            <w:pPr>
              <w:contextualSpacing/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en-GB"/>
              </w:rPr>
              <w:t>Only if:</w:t>
            </w:r>
          </w:p>
          <w:p w:rsidR="00E52975" w:rsidRDefault="00E52975" w:rsidP="00E52975">
            <w:pPr>
              <w:contextualSpacing/>
              <w:rPr>
                <w:lang w:val="en-GB"/>
              </w:rPr>
            </w:pPr>
          </w:p>
          <w:p w:rsidR="00E52975" w:rsidRDefault="00E52975" w:rsidP="00E52975">
            <w:pPr>
              <w:contextualSpacing/>
              <w:rPr>
                <w:lang w:val="en-GB"/>
              </w:rPr>
            </w:pPr>
          </w:p>
          <w:p w:rsidR="00E52975" w:rsidRDefault="00E52975" w:rsidP="00E52975">
            <w:pPr>
              <w:contextualSpacing/>
              <w:rPr>
                <w:lang w:val="en-GB"/>
              </w:rPr>
            </w:pPr>
          </w:p>
          <w:p w:rsidR="00E52975" w:rsidRPr="00385D56" w:rsidRDefault="00E52975" w:rsidP="00E52975">
            <w:pPr>
              <w:contextualSpacing/>
              <w:rPr>
                <w:lang w:val="en-GB"/>
              </w:rPr>
            </w:pPr>
          </w:p>
          <w:p w:rsidR="00385D56" w:rsidRPr="00385D56" w:rsidRDefault="00385D56" w:rsidP="00385D56">
            <w:pPr>
              <w:contextualSpacing/>
              <w:rPr>
                <w:lang w:val="en-GB"/>
              </w:rPr>
            </w:pPr>
          </w:p>
        </w:tc>
        <w:tc>
          <w:tcPr>
            <w:tcW w:w="1998" w:type="dxa"/>
            <w:shd w:val="clear" w:color="auto" w:fill="B6DDE8" w:themeFill="accent5" w:themeFillTint="66"/>
          </w:tcPr>
          <w:p w:rsidR="00385D56" w:rsidRPr="00385D56" w:rsidRDefault="00385D56" w:rsidP="00385D56">
            <w:pPr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en-GB"/>
              </w:rPr>
              <w:t>Only if:</w:t>
            </w:r>
          </w:p>
          <w:p w:rsidR="00E52975" w:rsidRPr="00385D56" w:rsidRDefault="00E52975" w:rsidP="00E52975">
            <w:pPr>
              <w:rPr>
                <w:lang w:val="en-GB"/>
              </w:rPr>
            </w:pPr>
          </w:p>
          <w:p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1998" w:type="dxa"/>
            <w:shd w:val="clear" w:color="auto" w:fill="B6DDE8" w:themeFill="accent5" w:themeFillTint="66"/>
          </w:tcPr>
          <w:p w:rsidR="00385D56" w:rsidRPr="00385D56" w:rsidRDefault="00385D56" w:rsidP="00385D56">
            <w:pPr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en-GB"/>
              </w:rPr>
              <w:t>Only if:</w:t>
            </w:r>
          </w:p>
          <w:p w:rsidR="00E52975" w:rsidRPr="00385D56" w:rsidRDefault="00E52975" w:rsidP="00E52975">
            <w:pPr>
              <w:rPr>
                <w:lang w:val="en-GB"/>
              </w:rPr>
            </w:pPr>
          </w:p>
          <w:p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1999" w:type="dxa"/>
            <w:shd w:val="clear" w:color="auto" w:fill="B6DDE8" w:themeFill="accent5" w:themeFillTint="66"/>
          </w:tcPr>
          <w:p w:rsidR="00385D56" w:rsidRPr="00385D56" w:rsidRDefault="00385D56" w:rsidP="00385D56">
            <w:pPr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en-GB"/>
              </w:rPr>
              <w:t>Only if:</w:t>
            </w:r>
          </w:p>
          <w:p w:rsidR="00E52975" w:rsidRPr="00385D56" w:rsidRDefault="00E52975" w:rsidP="00E52975">
            <w:pPr>
              <w:rPr>
                <w:lang w:val="en-GB"/>
              </w:rPr>
            </w:pPr>
          </w:p>
          <w:p w:rsidR="00385D56" w:rsidRPr="00385D56" w:rsidRDefault="00385D56" w:rsidP="00385D56">
            <w:pPr>
              <w:rPr>
                <w:lang w:val="en-GB"/>
              </w:rPr>
            </w:pPr>
            <w:r w:rsidRPr="00385D56">
              <w:rPr>
                <w:lang w:val="en-GB"/>
              </w:rPr>
              <w:t xml:space="preserve"> </w:t>
            </w:r>
          </w:p>
        </w:tc>
        <w:tc>
          <w:tcPr>
            <w:tcW w:w="1999" w:type="dxa"/>
            <w:shd w:val="clear" w:color="auto" w:fill="B6DDE8" w:themeFill="accent5" w:themeFillTint="66"/>
          </w:tcPr>
          <w:p w:rsidR="00385D56" w:rsidRPr="00385D56" w:rsidRDefault="00385D56" w:rsidP="00385D56">
            <w:pPr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en-GB"/>
              </w:rPr>
              <w:t>Only if:</w:t>
            </w:r>
          </w:p>
          <w:p w:rsidR="00E52975" w:rsidRPr="00385D56" w:rsidRDefault="00E52975" w:rsidP="00E52975">
            <w:pPr>
              <w:rPr>
                <w:lang w:val="en-GB"/>
              </w:rPr>
            </w:pPr>
          </w:p>
          <w:p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1999" w:type="dxa"/>
            <w:shd w:val="clear" w:color="auto" w:fill="B6DDE8" w:themeFill="accent5" w:themeFillTint="66"/>
          </w:tcPr>
          <w:p w:rsidR="00385D56" w:rsidRPr="00385D56" w:rsidRDefault="00385D56" w:rsidP="00385D56">
            <w:pPr>
              <w:jc w:val="center"/>
              <w:rPr>
                <w:u w:val="single"/>
                <w:lang w:val="en-GB"/>
              </w:rPr>
            </w:pPr>
            <w:r w:rsidRPr="00385D56">
              <w:rPr>
                <w:u w:val="single"/>
                <w:lang w:val="en-GB"/>
              </w:rPr>
              <w:t>Only if:</w:t>
            </w:r>
          </w:p>
          <w:p w:rsidR="00385D56" w:rsidRPr="00385D56" w:rsidRDefault="00385D56" w:rsidP="00385D56">
            <w:pPr>
              <w:rPr>
                <w:lang w:val="en-GB"/>
              </w:rPr>
            </w:pPr>
          </w:p>
        </w:tc>
        <w:tc>
          <w:tcPr>
            <w:tcW w:w="2002" w:type="dxa"/>
            <w:shd w:val="clear" w:color="auto" w:fill="B6DDE8" w:themeFill="accent5" w:themeFillTint="66"/>
          </w:tcPr>
          <w:p w:rsidR="00385D56" w:rsidRPr="00385D56" w:rsidRDefault="00385D56" w:rsidP="00385D56">
            <w:pPr>
              <w:contextualSpacing/>
              <w:rPr>
                <w:lang w:val="en-GB"/>
              </w:rPr>
            </w:pPr>
          </w:p>
        </w:tc>
      </w:tr>
    </w:tbl>
    <w:p w:rsidR="00950797" w:rsidRPr="00385D56" w:rsidRDefault="00950797" w:rsidP="00F53559">
      <w:pPr>
        <w:spacing w:after="0" w:line="240" w:lineRule="auto"/>
        <w:contextualSpacing/>
        <w:rPr>
          <w:lang w:val="en-GB"/>
        </w:rPr>
      </w:pPr>
    </w:p>
    <w:sectPr w:rsidR="00950797" w:rsidRPr="00385D56" w:rsidSect="00385D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134E"/>
    <w:multiLevelType w:val="hybridMultilevel"/>
    <w:tmpl w:val="2E5CC6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56"/>
    <w:rsid w:val="00385D56"/>
    <w:rsid w:val="00505298"/>
    <w:rsid w:val="00950797"/>
    <w:rsid w:val="00E458F4"/>
    <w:rsid w:val="00E52975"/>
    <w:rsid w:val="00F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9C4D"/>
  <w15:chartTrackingRefBased/>
  <w15:docId w15:val="{57AAF2F6-6C37-4DE6-818E-ED389B1D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5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unhideWhenUsed/>
    <w:rsid w:val="0038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85D5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052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Insing - Wilde Ganzen</dc:creator>
  <cp:keywords/>
  <dc:description/>
  <cp:lastModifiedBy>Natasja Insing - Wilde Ganzen</cp:lastModifiedBy>
  <cp:revision>3</cp:revision>
  <dcterms:created xsi:type="dcterms:W3CDTF">2017-07-10T11:57:00Z</dcterms:created>
  <dcterms:modified xsi:type="dcterms:W3CDTF">2017-07-10T11:58:00Z</dcterms:modified>
</cp:coreProperties>
</file>